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E4" w:rsidRDefault="00B37100" w:rsidP="00B37100">
      <w:pPr>
        <w:bidi/>
        <w:rPr>
          <w:rFonts w:cs="Titr"/>
          <w:b/>
          <w:bCs/>
          <w:sz w:val="32"/>
          <w:szCs w:val="32"/>
          <w:rtl/>
          <w:lang w:bidi="fa-IR"/>
        </w:rPr>
      </w:pPr>
      <w:r w:rsidRPr="00B37100">
        <w:rPr>
          <w:rFonts w:cs="Titr" w:hint="cs"/>
          <w:b/>
          <w:bCs/>
          <w:sz w:val="32"/>
          <w:szCs w:val="32"/>
          <w:rtl/>
          <w:lang w:bidi="fa-IR"/>
        </w:rPr>
        <w:t xml:space="preserve">اصلاحیه قانون مالیات مستقیم : </w:t>
      </w:r>
    </w:p>
    <w:p w:rsidR="00B37100" w:rsidRPr="00B37100" w:rsidRDefault="00B37100" w:rsidP="00B37100">
      <w:pPr>
        <w:bidi/>
        <w:rPr>
          <w:rFonts w:asciiTheme="minorBidi" w:hAnsiTheme="minorBidi"/>
          <w:sz w:val="28"/>
          <w:szCs w:val="28"/>
        </w:rPr>
      </w:pPr>
      <w:r w:rsidRPr="003B6FEF">
        <w:rPr>
          <w:rFonts w:asciiTheme="minorBidi" w:hAnsiTheme="minorBidi"/>
          <w:sz w:val="28"/>
          <w:szCs w:val="28"/>
          <w:highlight w:val="red"/>
          <w:rtl/>
          <w:lang w:bidi="fa-IR"/>
        </w:rPr>
        <w:t>بند 31:</w:t>
      </w:r>
      <w:r w:rsidRPr="00B37100">
        <w:rPr>
          <w:rFonts w:asciiTheme="minorBidi" w:hAnsiTheme="minorBidi"/>
          <w:sz w:val="28"/>
          <w:szCs w:val="28"/>
          <w:rtl/>
          <w:lang w:bidi="fa-IR"/>
        </w:rPr>
        <w:t xml:space="preserve"> در ماده 133 عبارت (صندوق حمایت از توسعه بخش کشاورزی) بعد از عبارت (صد در صد درآمد) و قبل از شرکت های تعاون روستایی اضافه می شود.</w:t>
      </w:r>
    </w:p>
    <w:p w:rsidR="00B37100" w:rsidRPr="00B37100" w:rsidRDefault="00B37100" w:rsidP="000C78AC">
      <w:pPr>
        <w:bidi/>
        <w:rPr>
          <w:rFonts w:asciiTheme="minorBidi" w:hAnsiTheme="minorBidi"/>
          <w:sz w:val="28"/>
          <w:szCs w:val="28"/>
        </w:rPr>
      </w:pPr>
      <w:r w:rsidRPr="000C78AC">
        <w:rPr>
          <w:rFonts w:asciiTheme="minorBidi" w:hAnsiTheme="minorBidi"/>
          <w:sz w:val="28"/>
          <w:szCs w:val="28"/>
          <w:highlight w:val="red"/>
          <w:rtl/>
          <w:lang w:bidi="fa-IR"/>
        </w:rPr>
        <w:t>ماده133</w:t>
      </w:r>
      <w:r w:rsidR="000C78AC" w:rsidRPr="000C78AC">
        <w:rPr>
          <w:rFonts w:asciiTheme="minorBidi" w:hAnsiTheme="minorBidi" w:hint="cs"/>
          <w:sz w:val="28"/>
          <w:szCs w:val="28"/>
          <w:highlight w:val="red"/>
          <w:rtl/>
          <w:lang w:bidi="fa-IR"/>
        </w:rPr>
        <w:t>_</w:t>
      </w:r>
      <w:r w:rsidRPr="00B37100">
        <w:rPr>
          <w:rFonts w:asciiTheme="minorBidi" w:hAnsiTheme="minorBidi"/>
          <w:sz w:val="28"/>
          <w:szCs w:val="28"/>
          <w:rtl/>
          <w:lang w:bidi="fa-IR"/>
        </w:rPr>
        <w:t xml:space="preserve"> صد در صد درآمد شرکت های تعاونی روستایی، عشایری، کشاورزی، صیادان، کارگری، کارمندی، دانشجویان و دانش آموزان و اتحادیه های آنها از مالیات معاف است.</w:t>
      </w:r>
    </w:p>
    <w:p w:rsidR="00B37100" w:rsidRPr="00B37100" w:rsidRDefault="00B37100" w:rsidP="002247BA">
      <w:pPr>
        <w:bidi/>
        <w:rPr>
          <w:rFonts w:asciiTheme="minorBidi" w:hAnsiTheme="minorBidi"/>
          <w:sz w:val="28"/>
          <w:szCs w:val="28"/>
        </w:rPr>
      </w:pPr>
      <w:r w:rsidRPr="000C78AC">
        <w:rPr>
          <w:rFonts w:asciiTheme="minorBidi" w:hAnsiTheme="minorBidi"/>
          <w:sz w:val="28"/>
          <w:szCs w:val="28"/>
          <w:highlight w:val="red"/>
          <w:rtl/>
          <w:lang w:bidi="ar-YE"/>
        </w:rPr>
        <w:t>ماده 147–</w:t>
      </w:r>
      <w:r w:rsidRPr="00B37100">
        <w:rPr>
          <w:rFonts w:asciiTheme="minorBidi" w:hAnsiTheme="minorBidi"/>
          <w:sz w:val="28"/>
          <w:szCs w:val="28"/>
          <w:rtl/>
          <w:lang w:bidi="ar-YE"/>
        </w:rPr>
        <w:t xml:space="preserve"> هزینه های قابل قبول برای تشخیص درآمد مشمول مالیات به شرحی که ضمن مقررات این </w:t>
      </w:r>
      <w:bookmarkStart w:id="0" w:name="_GoBack"/>
      <w:bookmarkEnd w:id="0"/>
      <w:r w:rsidRPr="00B37100">
        <w:rPr>
          <w:rFonts w:asciiTheme="minorBidi" w:hAnsiTheme="minorBidi"/>
          <w:sz w:val="28"/>
          <w:szCs w:val="28"/>
          <w:rtl/>
          <w:lang w:bidi="ar-YE"/>
        </w:rPr>
        <w:t>قانون مقرر</w:t>
      </w:r>
      <w:r w:rsidRPr="00B37100">
        <w:rPr>
          <w:rFonts w:asciiTheme="minorBidi" w:hAnsiTheme="minorBidi"/>
          <w:sz w:val="28"/>
          <w:szCs w:val="28"/>
          <w:rtl/>
          <w:lang w:bidi="fa-IR"/>
        </w:rPr>
        <w:t xml:space="preserve"> </w:t>
      </w:r>
      <w:r w:rsidRPr="00B37100">
        <w:rPr>
          <w:rFonts w:asciiTheme="minorBidi" w:hAnsiTheme="minorBidi"/>
          <w:sz w:val="28"/>
          <w:szCs w:val="28"/>
          <w:rtl/>
          <w:lang w:bidi="ar-YE"/>
        </w:rPr>
        <w:t xml:space="preserve">می گردد عبارت است از: </w:t>
      </w:r>
    </w:p>
    <w:p w:rsidR="00B37100" w:rsidRPr="00B37100" w:rsidRDefault="00B37100" w:rsidP="00B37100">
      <w:pPr>
        <w:bidi/>
        <w:rPr>
          <w:rFonts w:asciiTheme="minorBidi" w:hAnsiTheme="minorBidi"/>
          <w:sz w:val="28"/>
          <w:szCs w:val="28"/>
        </w:rPr>
      </w:pPr>
      <w:r w:rsidRPr="00B37100">
        <w:rPr>
          <w:rFonts w:asciiTheme="minorBidi" w:hAnsiTheme="minorBidi"/>
          <w:sz w:val="28"/>
          <w:szCs w:val="28"/>
          <w:rtl/>
          <w:lang w:bidi="ar-YE"/>
        </w:rPr>
        <w:t xml:space="preserve">هزینه هایی که درحدود متعارف متکی به مدارک بوده ومنحصراً مربوط به تحصیل درآمد مؤسسه در دوره مالی مربوط با رعایت حد نصاب های مقرر باشد. در مواردی که هزینه ای در این قانون پیش بینی نشده یا بیش از نصاب های مقرر در این قانون بوده ولی پرداخت آن به موجب قانون و یا مصوبه هیأت وزیران صورت گرفته باشد قابل قبول خواهد بود. </w:t>
      </w:r>
    </w:p>
    <w:p w:rsidR="00B37100" w:rsidRPr="00B37100" w:rsidRDefault="00B37100" w:rsidP="00B37100">
      <w:pPr>
        <w:bidi/>
        <w:rPr>
          <w:rFonts w:asciiTheme="minorBidi" w:hAnsiTheme="minorBidi"/>
          <w:sz w:val="28"/>
          <w:szCs w:val="28"/>
        </w:rPr>
      </w:pPr>
      <w:r w:rsidRPr="000472FE">
        <w:rPr>
          <w:rFonts w:asciiTheme="minorBidi" w:hAnsiTheme="minorBidi"/>
          <w:color w:val="FF0000"/>
          <w:sz w:val="28"/>
          <w:szCs w:val="28"/>
          <w:rtl/>
          <w:lang w:bidi="ar-YE"/>
        </w:rPr>
        <w:t>تبصره –</w:t>
      </w:r>
      <w:r w:rsidRPr="00B37100">
        <w:rPr>
          <w:rFonts w:asciiTheme="minorBidi" w:hAnsiTheme="minorBidi"/>
          <w:sz w:val="28"/>
          <w:szCs w:val="28"/>
          <w:rtl/>
          <w:lang w:bidi="ar-YE"/>
        </w:rPr>
        <w:t xml:space="preserve"> از لحاظ مقررات این فصل مؤسسه عبارت است از کلیه اشخاص حقوقی و همچنین صاحبان مشاغل موضوع بندهای الف و ب ماده 95 این قانون.</w:t>
      </w:r>
    </w:p>
    <w:p w:rsidR="00B37100" w:rsidRPr="00B37100" w:rsidRDefault="00B37100" w:rsidP="00B37100">
      <w:pPr>
        <w:bidi/>
        <w:rPr>
          <w:rFonts w:asciiTheme="minorBidi" w:hAnsiTheme="minorBidi"/>
          <w:sz w:val="28"/>
          <w:szCs w:val="28"/>
        </w:rPr>
      </w:pPr>
      <w:r w:rsidRPr="00B37100">
        <w:rPr>
          <w:rFonts w:asciiTheme="minorBidi" w:hAnsiTheme="minorBidi"/>
          <w:sz w:val="28"/>
          <w:szCs w:val="28"/>
          <w:rtl/>
          <w:lang w:bidi="fa-IR"/>
        </w:rPr>
        <w:t>هزینه هایی که حائز شرایط مزکور در ماده فوق می باشد به شرح زیر در حساب های مالیاتی قابل قبول است</w:t>
      </w:r>
      <w:r w:rsidR="002247BA">
        <w:rPr>
          <w:rFonts w:asciiTheme="minorBidi" w:hAnsiTheme="minorBidi" w:hint="cs"/>
          <w:sz w:val="28"/>
          <w:szCs w:val="28"/>
          <w:rtl/>
          <w:lang w:bidi="fa-IR"/>
        </w:rPr>
        <w:t xml:space="preserve"> .</w:t>
      </w:r>
    </w:p>
    <w:p w:rsidR="00B37100" w:rsidRPr="00B37100" w:rsidRDefault="00B37100" w:rsidP="00B37100">
      <w:pPr>
        <w:bidi/>
        <w:rPr>
          <w:rFonts w:asciiTheme="minorBidi" w:hAnsiTheme="minorBidi"/>
          <w:sz w:val="28"/>
          <w:szCs w:val="28"/>
        </w:rPr>
      </w:pPr>
      <w:r w:rsidRPr="003B6FEF">
        <w:rPr>
          <w:rFonts w:asciiTheme="minorBidi" w:hAnsiTheme="minorBidi"/>
          <w:sz w:val="28"/>
          <w:szCs w:val="28"/>
          <w:highlight w:val="red"/>
          <w:rtl/>
          <w:lang w:bidi="fa-IR"/>
        </w:rPr>
        <w:t>بند18ـ</w:t>
      </w:r>
      <w:r w:rsidRPr="00B37100">
        <w:rPr>
          <w:rFonts w:asciiTheme="minorBidi" w:hAnsiTheme="minorBidi"/>
          <w:sz w:val="28"/>
          <w:szCs w:val="28"/>
          <w:rtl/>
          <w:lang w:bidi="fa-IR"/>
        </w:rPr>
        <w:t xml:space="preserve"> سود کارمزدی که برای انجام دادن عملیات موسسه با بانکها، صندوق تعاون و همچنین موسسات اعتباری غیر بانکی مجاز پرداخت شده یا تخصیص یافته باشد.</w:t>
      </w:r>
    </w:p>
    <w:p w:rsidR="00B37100" w:rsidRPr="00B37100" w:rsidRDefault="00B37100" w:rsidP="00B37100">
      <w:pPr>
        <w:bidi/>
        <w:rPr>
          <w:rFonts w:asciiTheme="minorBidi" w:hAnsiTheme="minorBidi"/>
          <w:sz w:val="28"/>
          <w:szCs w:val="28"/>
        </w:rPr>
      </w:pPr>
      <w:r w:rsidRPr="000C78AC">
        <w:rPr>
          <w:rFonts w:asciiTheme="minorBidi" w:hAnsiTheme="minorBidi"/>
          <w:sz w:val="28"/>
          <w:szCs w:val="28"/>
          <w:highlight w:val="red"/>
          <w:rtl/>
          <w:lang w:bidi="ar-YE"/>
        </w:rPr>
        <w:t>ماده 145–</w:t>
      </w:r>
      <w:r w:rsidRPr="00B37100">
        <w:rPr>
          <w:rFonts w:asciiTheme="minorBidi" w:hAnsiTheme="minorBidi"/>
          <w:sz w:val="28"/>
          <w:szCs w:val="28"/>
          <w:rtl/>
          <w:lang w:bidi="ar-YE"/>
        </w:rPr>
        <w:t xml:space="preserve"> سود دریافتی به هر عنوان در موارد زیر ازپرداخت مالیات معاف است:</w:t>
      </w:r>
    </w:p>
    <w:p w:rsidR="00B37100" w:rsidRPr="00B37100" w:rsidRDefault="00B37100" w:rsidP="000C78AC">
      <w:pPr>
        <w:bidi/>
        <w:rPr>
          <w:rFonts w:asciiTheme="minorBidi" w:hAnsiTheme="minorBidi"/>
          <w:sz w:val="28"/>
          <w:szCs w:val="28"/>
        </w:rPr>
      </w:pPr>
      <w:r w:rsidRPr="00B37100">
        <w:rPr>
          <w:rFonts w:asciiTheme="minorBidi" w:hAnsiTheme="minorBidi"/>
          <w:sz w:val="28"/>
          <w:szCs w:val="28"/>
          <w:rtl/>
          <w:lang w:bidi="ar-YE"/>
        </w:rPr>
        <w:t>1 – سود متعلق به سپرده های مربوط به ک</w:t>
      </w:r>
      <w:r w:rsidR="000C78AC">
        <w:rPr>
          <w:rFonts w:asciiTheme="minorBidi" w:hAnsiTheme="minorBidi" w:hint="cs"/>
          <w:sz w:val="28"/>
          <w:szCs w:val="28"/>
          <w:rtl/>
          <w:lang w:bidi="ar-YE"/>
        </w:rPr>
        <w:t>ش</w:t>
      </w:r>
      <w:r w:rsidRPr="00B37100">
        <w:rPr>
          <w:rFonts w:asciiTheme="minorBidi" w:hAnsiTheme="minorBidi"/>
          <w:sz w:val="28"/>
          <w:szCs w:val="28"/>
          <w:rtl/>
          <w:lang w:bidi="ar-YE"/>
        </w:rPr>
        <w:t xml:space="preserve">ور بازنشستگی و پس انداز کارمندان وکارگران نزد بانک های ایرانی در حدود مقررات استخدامی مربوطه. </w:t>
      </w:r>
    </w:p>
    <w:p w:rsidR="00B37100" w:rsidRPr="00B37100" w:rsidRDefault="00B37100" w:rsidP="00B37100">
      <w:pPr>
        <w:bidi/>
        <w:rPr>
          <w:rFonts w:asciiTheme="minorBidi" w:hAnsiTheme="minorBidi"/>
          <w:sz w:val="28"/>
          <w:szCs w:val="28"/>
        </w:rPr>
      </w:pPr>
      <w:r w:rsidRPr="00B37100">
        <w:rPr>
          <w:rFonts w:asciiTheme="minorBidi" w:hAnsiTheme="minorBidi"/>
          <w:sz w:val="28"/>
          <w:szCs w:val="28"/>
          <w:rtl/>
          <w:lang w:bidi="ar-YE"/>
        </w:rPr>
        <w:t>2 – سود یا جوایز متعلق به حساب های پس انداز وسپرده های مختلف نزد بانک های ایرانی یا مؤسسات اعتباری غیر بانکی مجاز. این معافیت شامل سپرده هایی که بانک ها یا مؤسسات اعتباری غیر بانکی مجاز نزد هم می گذارند نخواهد بود.</w:t>
      </w:r>
    </w:p>
    <w:p w:rsidR="00B37100" w:rsidRPr="00B37100" w:rsidRDefault="00B37100" w:rsidP="00B37100">
      <w:pPr>
        <w:bidi/>
        <w:rPr>
          <w:rFonts w:asciiTheme="minorBidi" w:hAnsiTheme="minorBidi"/>
          <w:sz w:val="28"/>
          <w:szCs w:val="28"/>
        </w:rPr>
      </w:pPr>
      <w:r w:rsidRPr="00B37100">
        <w:rPr>
          <w:rFonts w:asciiTheme="minorBidi" w:hAnsiTheme="minorBidi"/>
          <w:sz w:val="28"/>
          <w:szCs w:val="28"/>
          <w:rtl/>
          <w:lang w:bidi="ar-YE"/>
        </w:rPr>
        <w:t xml:space="preserve">3 – جوایز متعلق به اوراق قرضه دولتی و اسناد خزانه. </w:t>
      </w:r>
    </w:p>
    <w:p w:rsidR="00B37100" w:rsidRPr="00B37100" w:rsidRDefault="00B37100" w:rsidP="00B37100">
      <w:pPr>
        <w:bidi/>
        <w:rPr>
          <w:rFonts w:asciiTheme="minorBidi" w:hAnsiTheme="minorBidi"/>
          <w:sz w:val="28"/>
          <w:szCs w:val="28"/>
        </w:rPr>
      </w:pPr>
      <w:r w:rsidRPr="00B37100">
        <w:rPr>
          <w:rFonts w:asciiTheme="minorBidi" w:hAnsiTheme="minorBidi"/>
          <w:sz w:val="28"/>
          <w:szCs w:val="28"/>
          <w:rtl/>
          <w:lang w:bidi="ar-YE"/>
        </w:rPr>
        <w:t xml:space="preserve">4 – سود پرداختی بانک های ایرانی به بانک های خارج از ایران بابت اضافه برداشت (اوردرافت) و سپرده ثابت به شرط معامله متقابل. </w:t>
      </w:r>
    </w:p>
    <w:p w:rsidR="00B37100" w:rsidRPr="00B37100" w:rsidRDefault="00B37100" w:rsidP="00B37100">
      <w:pPr>
        <w:bidi/>
        <w:rPr>
          <w:rFonts w:asciiTheme="minorBidi" w:hAnsiTheme="minorBidi"/>
          <w:sz w:val="28"/>
          <w:szCs w:val="28"/>
        </w:rPr>
      </w:pPr>
      <w:r w:rsidRPr="00B37100">
        <w:rPr>
          <w:rFonts w:asciiTheme="minorBidi" w:hAnsiTheme="minorBidi"/>
          <w:sz w:val="28"/>
          <w:szCs w:val="28"/>
          <w:rtl/>
          <w:lang w:bidi="ar-YE"/>
        </w:rPr>
        <w:t>5 – سود و جوایز متعلق به اوراق مشارکت.</w:t>
      </w:r>
    </w:p>
    <w:p w:rsidR="00B37100" w:rsidRPr="000C78AC" w:rsidRDefault="00B37100" w:rsidP="00B37100">
      <w:pPr>
        <w:bidi/>
        <w:rPr>
          <w:rFonts w:asciiTheme="minorBidi" w:hAnsiTheme="minorBidi"/>
          <w:b/>
          <w:bCs/>
          <w:color w:val="FF0000"/>
          <w:sz w:val="28"/>
          <w:szCs w:val="28"/>
        </w:rPr>
      </w:pPr>
      <w:r w:rsidRPr="000C78AC">
        <w:rPr>
          <w:rFonts w:asciiTheme="minorBidi" w:hAnsiTheme="minorBidi"/>
          <w:b/>
          <w:bCs/>
          <w:color w:val="FF0000"/>
          <w:sz w:val="28"/>
          <w:szCs w:val="28"/>
          <w:rtl/>
          <w:lang w:bidi="ar-YE"/>
        </w:rPr>
        <w:t>تبصره – درمواردی که درقانون مالیات های مستقیم به بانک ها اشاره می شود امتیازات، تسهیلات، ترجیحات و تکالیف ذکر شده شامل مؤسسات اعتباری غیر بانکی که به موجب قانون یا با مجوز بانک مرکزی جمهوری اسلامی ایران تاسیس شده اند یا می شوند نیز خواهد شد.</w:t>
      </w:r>
    </w:p>
    <w:p w:rsidR="00B37100" w:rsidRPr="00B37100" w:rsidRDefault="00B37100" w:rsidP="00B37100">
      <w:pPr>
        <w:bidi/>
        <w:rPr>
          <w:rFonts w:cs="Titr"/>
          <w:sz w:val="32"/>
          <w:szCs w:val="32"/>
        </w:rPr>
      </w:pPr>
    </w:p>
    <w:sectPr w:rsidR="00B37100" w:rsidRPr="00B37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6A"/>
    <w:rsid w:val="000472FE"/>
    <w:rsid w:val="00087B53"/>
    <w:rsid w:val="000A0BD5"/>
    <w:rsid w:val="000C78AC"/>
    <w:rsid w:val="00162A35"/>
    <w:rsid w:val="002247BA"/>
    <w:rsid w:val="002375E4"/>
    <w:rsid w:val="003B6FEF"/>
    <w:rsid w:val="0041346A"/>
    <w:rsid w:val="00526C2D"/>
    <w:rsid w:val="00641FE6"/>
    <w:rsid w:val="006762CE"/>
    <w:rsid w:val="00900CB3"/>
    <w:rsid w:val="00A96688"/>
    <w:rsid w:val="00B37100"/>
    <w:rsid w:val="00DA217A"/>
    <w:rsid w:val="00DD21EC"/>
    <w:rsid w:val="00FE3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398F-3012-430F-B518-5BDE830A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68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724">
      <w:bodyDiv w:val="1"/>
      <w:marLeft w:val="0"/>
      <w:marRight w:val="0"/>
      <w:marTop w:val="0"/>
      <w:marBottom w:val="0"/>
      <w:divBdr>
        <w:top w:val="none" w:sz="0" w:space="0" w:color="auto"/>
        <w:left w:val="none" w:sz="0" w:space="0" w:color="auto"/>
        <w:bottom w:val="none" w:sz="0" w:space="0" w:color="auto"/>
        <w:right w:val="none" w:sz="0" w:space="0" w:color="auto"/>
      </w:divBdr>
    </w:div>
    <w:div w:id="210770558">
      <w:bodyDiv w:val="1"/>
      <w:marLeft w:val="0"/>
      <w:marRight w:val="0"/>
      <w:marTop w:val="0"/>
      <w:marBottom w:val="0"/>
      <w:divBdr>
        <w:top w:val="none" w:sz="0" w:space="0" w:color="auto"/>
        <w:left w:val="none" w:sz="0" w:space="0" w:color="auto"/>
        <w:bottom w:val="none" w:sz="0" w:space="0" w:color="auto"/>
        <w:right w:val="none" w:sz="0" w:space="0" w:color="auto"/>
      </w:divBdr>
    </w:div>
    <w:div w:id="254753516">
      <w:bodyDiv w:val="1"/>
      <w:marLeft w:val="0"/>
      <w:marRight w:val="0"/>
      <w:marTop w:val="0"/>
      <w:marBottom w:val="0"/>
      <w:divBdr>
        <w:top w:val="none" w:sz="0" w:space="0" w:color="auto"/>
        <w:left w:val="none" w:sz="0" w:space="0" w:color="auto"/>
        <w:bottom w:val="none" w:sz="0" w:space="0" w:color="auto"/>
        <w:right w:val="none" w:sz="0" w:space="0" w:color="auto"/>
      </w:divBdr>
    </w:div>
    <w:div w:id="467162913">
      <w:bodyDiv w:val="1"/>
      <w:marLeft w:val="0"/>
      <w:marRight w:val="0"/>
      <w:marTop w:val="0"/>
      <w:marBottom w:val="0"/>
      <w:divBdr>
        <w:top w:val="none" w:sz="0" w:space="0" w:color="auto"/>
        <w:left w:val="none" w:sz="0" w:space="0" w:color="auto"/>
        <w:bottom w:val="none" w:sz="0" w:space="0" w:color="auto"/>
        <w:right w:val="none" w:sz="0" w:space="0" w:color="auto"/>
      </w:divBdr>
    </w:div>
    <w:div w:id="472526204">
      <w:bodyDiv w:val="1"/>
      <w:marLeft w:val="0"/>
      <w:marRight w:val="0"/>
      <w:marTop w:val="0"/>
      <w:marBottom w:val="0"/>
      <w:divBdr>
        <w:top w:val="none" w:sz="0" w:space="0" w:color="auto"/>
        <w:left w:val="none" w:sz="0" w:space="0" w:color="auto"/>
        <w:bottom w:val="none" w:sz="0" w:space="0" w:color="auto"/>
        <w:right w:val="none" w:sz="0" w:space="0" w:color="auto"/>
      </w:divBdr>
    </w:div>
    <w:div w:id="505748207">
      <w:bodyDiv w:val="1"/>
      <w:marLeft w:val="0"/>
      <w:marRight w:val="0"/>
      <w:marTop w:val="0"/>
      <w:marBottom w:val="0"/>
      <w:divBdr>
        <w:top w:val="none" w:sz="0" w:space="0" w:color="auto"/>
        <w:left w:val="none" w:sz="0" w:space="0" w:color="auto"/>
        <w:bottom w:val="none" w:sz="0" w:space="0" w:color="auto"/>
        <w:right w:val="none" w:sz="0" w:space="0" w:color="auto"/>
      </w:divBdr>
    </w:div>
    <w:div w:id="602029121">
      <w:bodyDiv w:val="1"/>
      <w:marLeft w:val="0"/>
      <w:marRight w:val="0"/>
      <w:marTop w:val="0"/>
      <w:marBottom w:val="0"/>
      <w:divBdr>
        <w:top w:val="none" w:sz="0" w:space="0" w:color="auto"/>
        <w:left w:val="none" w:sz="0" w:space="0" w:color="auto"/>
        <w:bottom w:val="none" w:sz="0" w:space="0" w:color="auto"/>
        <w:right w:val="none" w:sz="0" w:space="0" w:color="auto"/>
      </w:divBdr>
    </w:div>
    <w:div w:id="623385710">
      <w:bodyDiv w:val="1"/>
      <w:marLeft w:val="0"/>
      <w:marRight w:val="0"/>
      <w:marTop w:val="0"/>
      <w:marBottom w:val="0"/>
      <w:divBdr>
        <w:top w:val="none" w:sz="0" w:space="0" w:color="auto"/>
        <w:left w:val="none" w:sz="0" w:space="0" w:color="auto"/>
        <w:bottom w:val="none" w:sz="0" w:space="0" w:color="auto"/>
        <w:right w:val="none" w:sz="0" w:space="0" w:color="auto"/>
      </w:divBdr>
    </w:div>
    <w:div w:id="680281327">
      <w:bodyDiv w:val="1"/>
      <w:marLeft w:val="0"/>
      <w:marRight w:val="0"/>
      <w:marTop w:val="0"/>
      <w:marBottom w:val="0"/>
      <w:divBdr>
        <w:top w:val="none" w:sz="0" w:space="0" w:color="auto"/>
        <w:left w:val="none" w:sz="0" w:space="0" w:color="auto"/>
        <w:bottom w:val="none" w:sz="0" w:space="0" w:color="auto"/>
        <w:right w:val="none" w:sz="0" w:space="0" w:color="auto"/>
      </w:divBdr>
    </w:div>
    <w:div w:id="693917485">
      <w:bodyDiv w:val="1"/>
      <w:marLeft w:val="0"/>
      <w:marRight w:val="0"/>
      <w:marTop w:val="0"/>
      <w:marBottom w:val="0"/>
      <w:divBdr>
        <w:top w:val="none" w:sz="0" w:space="0" w:color="auto"/>
        <w:left w:val="none" w:sz="0" w:space="0" w:color="auto"/>
        <w:bottom w:val="none" w:sz="0" w:space="0" w:color="auto"/>
        <w:right w:val="none" w:sz="0" w:space="0" w:color="auto"/>
      </w:divBdr>
    </w:div>
    <w:div w:id="746537924">
      <w:bodyDiv w:val="1"/>
      <w:marLeft w:val="0"/>
      <w:marRight w:val="0"/>
      <w:marTop w:val="0"/>
      <w:marBottom w:val="0"/>
      <w:divBdr>
        <w:top w:val="none" w:sz="0" w:space="0" w:color="auto"/>
        <w:left w:val="none" w:sz="0" w:space="0" w:color="auto"/>
        <w:bottom w:val="none" w:sz="0" w:space="0" w:color="auto"/>
        <w:right w:val="none" w:sz="0" w:space="0" w:color="auto"/>
      </w:divBdr>
    </w:div>
    <w:div w:id="828206807">
      <w:bodyDiv w:val="1"/>
      <w:marLeft w:val="0"/>
      <w:marRight w:val="0"/>
      <w:marTop w:val="0"/>
      <w:marBottom w:val="0"/>
      <w:divBdr>
        <w:top w:val="none" w:sz="0" w:space="0" w:color="auto"/>
        <w:left w:val="none" w:sz="0" w:space="0" w:color="auto"/>
        <w:bottom w:val="none" w:sz="0" w:space="0" w:color="auto"/>
        <w:right w:val="none" w:sz="0" w:space="0" w:color="auto"/>
      </w:divBdr>
    </w:div>
    <w:div w:id="888691333">
      <w:bodyDiv w:val="1"/>
      <w:marLeft w:val="0"/>
      <w:marRight w:val="0"/>
      <w:marTop w:val="0"/>
      <w:marBottom w:val="0"/>
      <w:divBdr>
        <w:top w:val="none" w:sz="0" w:space="0" w:color="auto"/>
        <w:left w:val="none" w:sz="0" w:space="0" w:color="auto"/>
        <w:bottom w:val="none" w:sz="0" w:space="0" w:color="auto"/>
        <w:right w:val="none" w:sz="0" w:space="0" w:color="auto"/>
      </w:divBdr>
    </w:div>
    <w:div w:id="890264447">
      <w:bodyDiv w:val="1"/>
      <w:marLeft w:val="0"/>
      <w:marRight w:val="0"/>
      <w:marTop w:val="0"/>
      <w:marBottom w:val="0"/>
      <w:divBdr>
        <w:top w:val="none" w:sz="0" w:space="0" w:color="auto"/>
        <w:left w:val="none" w:sz="0" w:space="0" w:color="auto"/>
        <w:bottom w:val="none" w:sz="0" w:space="0" w:color="auto"/>
        <w:right w:val="none" w:sz="0" w:space="0" w:color="auto"/>
      </w:divBdr>
    </w:div>
    <w:div w:id="1062413216">
      <w:bodyDiv w:val="1"/>
      <w:marLeft w:val="0"/>
      <w:marRight w:val="0"/>
      <w:marTop w:val="0"/>
      <w:marBottom w:val="0"/>
      <w:divBdr>
        <w:top w:val="none" w:sz="0" w:space="0" w:color="auto"/>
        <w:left w:val="none" w:sz="0" w:space="0" w:color="auto"/>
        <w:bottom w:val="none" w:sz="0" w:space="0" w:color="auto"/>
        <w:right w:val="none" w:sz="0" w:space="0" w:color="auto"/>
      </w:divBdr>
    </w:div>
    <w:div w:id="1113788946">
      <w:bodyDiv w:val="1"/>
      <w:marLeft w:val="0"/>
      <w:marRight w:val="0"/>
      <w:marTop w:val="0"/>
      <w:marBottom w:val="0"/>
      <w:divBdr>
        <w:top w:val="none" w:sz="0" w:space="0" w:color="auto"/>
        <w:left w:val="none" w:sz="0" w:space="0" w:color="auto"/>
        <w:bottom w:val="none" w:sz="0" w:space="0" w:color="auto"/>
        <w:right w:val="none" w:sz="0" w:space="0" w:color="auto"/>
      </w:divBdr>
    </w:div>
    <w:div w:id="1119374410">
      <w:bodyDiv w:val="1"/>
      <w:marLeft w:val="0"/>
      <w:marRight w:val="0"/>
      <w:marTop w:val="0"/>
      <w:marBottom w:val="0"/>
      <w:divBdr>
        <w:top w:val="none" w:sz="0" w:space="0" w:color="auto"/>
        <w:left w:val="none" w:sz="0" w:space="0" w:color="auto"/>
        <w:bottom w:val="none" w:sz="0" w:space="0" w:color="auto"/>
        <w:right w:val="none" w:sz="0" w:space="0" w:color="auto"/>
      </w:divBdr>
    </w:div>
    <w:div w:id="1287810690">
      <w:bodyDiv w:val="1"/>
      <w:marLeft w:val="0"/>
      <w:marRight w:val="0"/>
      <w:marTop w:val="0"/>
      <w:marBottom w:val="0"/>
      <w:divBdr>
        <w:top w:val="none" w:sz="0" w:space="0" w:color="auto"/>
        <w:left w:val="none" w:sz="0" w:space="0" w:color="auto"/>
        <w:bottom w:val="none" w:sz="0" w:space="0" w:color="auto"/>
        <w:right w:val="none" w:sz="0" w:space="0" w:color="auto"/>
      </w:divBdr>
    </w:div>
    <w:div w:id="1337003411">
      <w:bodyDiv w:val="1"/>
      <w:marLeft w:val="0"/>
      <w:marRight w:val="0"/>
      <w:marTop w:val="0"/>
      <w:marBottom w:val="0"/>
      <w:divBdr>
        <w:top w:val="none" w:sz="0" w:space="0" w:color="auto"/>
        <w:left w:val="none" w:sz="0" w:space="0" w:color="auto"/>
        <w:bottom w:val="none" w:sz="0" w:space="0" w:color="auto"/>
        <w:right w:val="none" w:sz="0" w:space="0" w:color="auto"/>
      </w:divBdr>
    </w:div>
    <w:div w:id="1500272791">
      <w:bodyDiv w:val="1"/>
      <w:marLeft w:val="0"/>
      <w:marRight w:val="0"/>
      <w:marTop w:val="0"/>
      <w:marBottom w:val="0"/>
      <w:divBdr>
        <w:top w:val="none" w:sz="0" w:space="0" w:color="auto"/>
        <w:left w:val="none" w:sz="0" w:space="0" w:color="auto"/>
        <w:bottom w:val="none" w:sz="0" w:space="0" w:color="auto"/>
        <w:right w:val="none" w:sz="0" w:space="0" w:color="auto"/>
      </w:divBdr>
    </w:div>
    <w:div w:id="1739211142">
      <w:bodyDiv w:val="1"/>
      <w:marLeft w:val="0"/>
      <w:marRight w:val="0"/>
      <w:marTop w:val="0"/>
      <w:marBottom w:val="0"/>
      <w:divBdr>
        <w:top w:val="none" w:sz="0" w:space="0" w:color="auto"/>
        <w:left w:val="none" w:sz="0" w:space="0" w:color="auto"/>
        <w:bottom w:val="none" w:sz="0" w:space="0" w:color="auto"/>
        <w:right w:val="none" w:sz="0" w:space="0" w:color="auto"/>
      </w:divBdr>
    </w:div>
    <w:div w:id="1742437772">
      <w:bodyDiv w:val="1"/>
      <w:marLeft w:val="0"/>
      <w:marRight w:val="0"/>
      <w:marTop w:val="0"/>
      <w:marBottom w:val="0"/>
      <w:divBdr>
        <w:top w:val="none" w:sz="0" w:space="0" w:color="auto"/>
        <w:left w:val="none" w:sz="0" w:space="0" w:color="auto"/>
        <w:bottom w:val="none" w:sz="0" w:space="0" w:color="auto"/>
        <w:right w:val="none" w:sz="0" w:space="0" w:color="auto"/>
      </w:divBdr>
    </w:div>
    <w:div w:id="1760523649">
      <w:bodyDiv w:val="1"/>
      <w:marLeft w:val="0"/>
      <w:marRight w:val="0"/>
      <w:marTop w:val="0"/>
      <w:marBottom w:val="0"/>
      <w:divBdr>
        <w:top w:val="none" w:sz="0" w:space="0" w:color="auto"/>
        <w:left w:val="none" w:sz="0" w:space="0" w:color="auto"/>
        <w:bottom w:val="none" w:sz="0" w:space="0" w:color="auto"/>
        <w:right w:val="none" w:sz="0" w:space="0" w:color="auto"/>
      </w:divBdr>
    </w:div>
    <w:div w:id="1787918863">
      <w:bodyDiv w:val="1"/>
      <w:marLeft w:val="0"/>
      <w:marRight w:val="0"/>
      <w:marTop w:val="0"/>
      <w:marBottom w:val="0"/>
      <w:divBdr>
        <w:top w:val="none" w:sz="0" w:space="0" w:color="auto"/>
        <w:left w:val="none" w:sz="0" w:space="0" w:color="auto"/>
        <w:bottom w:val="none" w:sz="0" w:space="0" w:color="auto"/>
        <w:right w:val="none" w:sz="0" w:space="0" w:color="auto"/>
      </w:divBdr>
    </w:div>
    <w:div w:id="1790775234">
      <w:bodyDiv w:val="1"/>
      <w:marLeft w:val="0"/>
      <w:marRight w:val="0"/>
      <w:marTop w:val="0"/>
      <w:marBottom w:val="0"/>
      <w:divBdr>
        <w:top w:val="none" w:sz="0" w:space="0" w:color="auto"/>
        <w:left w:val="none" w:sz="0" w:space="0" w:color="auto"/>
        <w:bottom w:val="none" w:sz="0" w:space="0" w:color="auto"/>
        <w:right w:val="none" w:sz="0" w:space="0" w:color="auto"/>
      </w:divBdr>
    </w:div>
    <w:div w:id="1910991955">
      <w:bodyDiv w:val="1"/>
      <w:marLeft w:val="0"/>
      <w:marRight w:val="0"/>
      <w:marTop w:val="0"/>
      <w:marBottom w:val="0"/>
      <w:divBdr>
        <w:top w:val="none" w:sz="0" w:space="0" w:color="auto"/>
        <w:left w:val="none" w:sz="0" w:space="0" w:color="auto"/>
        <w:bottom w:val="none" w:sz="0" w:space="0" w:color="auto"/>
        <w:right w:val="none" w:sz="0" w:space="0" w:color="auto"/>
      </w:divBdr>
    </w:div>
    <w:div w:id="1971738364">
      <w:bodyDiv w:val="1"/>
      <w:marLeft w:val="0"/>
      <w:marRight w:val="0"/>
      <w:marTop w:val="0"/>
      <w:marBottom w:val="0"/>
      <w:divBdr>
        <w:top w:val="none" w:sz="0" w:space="0" w:color="auto"/>
        <w:left w:val="none" w:sz="0" w:space="0" w:color="auto"/>
        <w:bottom w:val="none" w:sz="0" w:space="0" w:color="auto"/>
        <w:right w:val="none" w:sz="0" w:space="0" w:color="auto"/>
      </w:divBdr>
    </w:div>
    <w:div w:id="21351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Akhlaghi</dc:creator>
  <cp:keywords/>
  <dc:description/>
  <cp:lastModifiedBy>Rana Akhlaghi</cp:lastModifiedBy>
  <cp:revision>5</cp:revision>
  <dcterms:created xsi:type="dcterms:W3CDTF">2018-08-05T06:12:00Z</dcterms:created>
  <dcterms:modified xsi:type="dcterms:W3CDTF">2018-08-05T11:15:00Z</dcterms:modified>
</cp:coreProperties>
</file>