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7B" w:rsidRPr="00695A68" w:rsidRDefault="006E127B" w:rsidP="006E127B">
      <w:pPr>
        <w:bidi/>
        <w:rPr>
          <w:rFonts w:asciiTheme="minorBidi" w:hAnsiTheme="minorBidi" w:cs="Titr"/>
          <w:b/>
          <w:bCs/>
          <w:sz w:val="28"/>
          <w:szCs w:val="28"/>
          <w:rtl/>
          <w:lang w:bidi="fa-IR"/>
        </w:rPr>
      </w:pPr>
      <w:r w:rsidRPr="00695A68">
        <w:rPr>
          <w:rFonts w:cs="Titr" w:hint="cs"/>
          <w:b/>
          <w:bCs/>
          <w:sz w:val="28"/>
          <w:szCs w:val="28"/>
          <w:rtl/>
          <w:lang w:bidi="fa-IR"/>
        </w:rPr>
        <w:t xml:space="preserve">مصوبات مرتبط با شرکت مادر تخصصی  صندوق حمایت از توسعه سرمایه  گذاری در بخش </w:t>
      </w:r>
      <w:r w:rsidRPr="00695A68">
        <w:rPr>
          <w:rFonts w:asciiTheme="minorBidi" w:hAnsiTheme="minorBidi" w:cs="Titr"/>
          <w:b/>
          <w:bCs/>
          <w:sz w:val="28"/>
          <w:szCs w:val="28"/>
          <w:rtl/>
          <w:lang w:bidi="fa-IR"/>
        </w:rPr>
        <w:t>کشاورزی در قانون بودجه 1396</w:t>
      </w:r>
      <w:r w:rsidRPr="00695A68">
        <w:rPr>
          <w:rFonts w:asciiTheme="minorBidi" w:hAnsiTheme="minorBidi" w:cs="Titr"/>
          <w:b/>
          <w:bCs/>
          <w:sz w:val="28"/>
          <w:szCs w:val="28"/>
          <w:lang w:bidi="fa-IR"/>
        </w:rPr>
        <w:t xml:space="preserve"> </w:t>
      </w:r>
      <w:r w:rsidRPr="00695A68">
        <w:rPr>
          <w:rFonts w:asciiTheme="minorBidi" w:hAnsiTheme="minorBidi" w:cs="Titr"/>
          <w:b/>
          <w:bCs/>
          <w:sz w:val="28"/>
          <w:szCs w:val="28"/>
          <w:rtl/>
          <w:lang w:bidi="fa-IR"/>
        </w:rPr>
        <w:t xml:space="preserve">: </w:t>
      </w:r>
    </w:p>
    <w:p w:rsidR="006E127B" w:rsidRPr="00150BD5" w:rsidRDefault="006E127B" w:rsidP="00150BD5">
      <w:pPr>
        <w:bidi/>
        <w:rPr>
          <w:rFonts w:asciiTheme="minorBidi" w:hAnsiTheme="minorBidi"/>
          <w:sz w:val="28"/>
          <w:szCs w:val="28"/>
        </w:rPr>
      </w:pPr>
      <w:r w:rsidRPr="00150BD5">
        <w:rPr>
          <w:rFonts w:asciiTheme="minorBidi" w:hAnsiTheme="minorBidi"/>
          <w:b/>
          <w:bCs/>
          <w:sz w:val="28"/>
          <w:szCs w:val="28"/>
          <w:highlight w:val="red"/>
          <w:rtl/>
          <w:lang w:bidi="fa-IR"/>
        </w:rPr>
        <w:t>بند الف تبصره 4</w:t>
      </w:r>
      <w:r w:rsidRPr="00150BD5">
        <w:rPr>
          <w:rFonts w:asciiTheme="minorBidi" w:hAnsiTheme="minorBidi"/>
          <w:b/>
          <w:bCs/>
          <w:sz w:val="28"/>
          <w:szCs w:val="28"/>
          <w:rtl/>
          <w:lang w:bidi="fa-IR"/>
        </w:rPr>
        <w:t xml:space="preserve"> </w:t>
      </w:r>
    </w:p>
    <w:p w:rsidR="006E127B" w:rsidRPr="00150BD5" w:rsidRDefault="006E127B" w:rsidP="006E127B">
      <w:pPr>
        <w:bidi/>
        <w:rPr>
          <w:rFonts w:asciiTheme="minorBidi" w:hAnsiTheme="minorBidi"/>
          <w:sz w:val="28"/>
          <w:szCs w:val="28"/>
        </w:rPr>
      </w:pPr>
      <w:r w:rsidRPr="00150BD5">
        <w:rPr>
          <w:rFonts w:asciiTheme="minorBidi" w:hAnsiTheme="minorBidi"/>
          <w:sz w:val="28"/>
          <w:szCs w:val="28"/>
          <w:rtl/>
          <w:lang w:bidi="fa-IR"/>
        </w:rPr>
        <w:t>به دولت اجازه داده میشود معادل ریالی سیصد میلیون (300،000،000) دلار معادل (900/9 میلیارد ریال) از محل ورودی سال 1396 صندوق توسعه ملی به طرحهای آبیاری تحت فشار ، کمک فشار و سامانه های نوین آبیاری،  معادل ریالی 200 میلیون دلار (600/6 میلیارد ریال) برای افزایش سرمایه صندوق نوآوری و شکوفایی و معادل ریالی 100 میلیون دلار  (300/3 میلیارد ریال) جهت اجراء مقابله با ریزگردها اختصاص می یابد. اعتبارات موضوع این بند برای صندوق توسعه ملی بازگشت از منابع محسوب می شود.</w:t>
      </w:r>
    </w:p>
    <w:p w:rsidR="006E127B" w:rsidRPr="00150BD5" w:rsidRDefault="006E127B" w:rsidP="00150BD5">
      <w:pPr>
        <w:bidi/>
        <w:rPr>
          <w:rFonts w:asciiTheme="minorBidi" w:hAnsiTheme="minorBidi"/>
          <w:sz w:val="28"/>
          <w:szCs w:val="28"/>
        </w:rPr>
      </w:pPr>
      <w:r w:rsidRPr="00150BD5">
        <w:rPr>
          <w:rFonts w:asciiTheme="minorBidi" w:hAnsiTheme="minorBidi"/>
          <w:b/>
          <w:bCs/>
          <w:sz w:val="28"/>
          <w:szCs w:val="28"/>
          <w:highlight w:val="red"/>
          <w:rtl/>
          <w:lang w:bidi="fa-IR"/>
        </w:rPr>
        <w:t>بند الف تبصره 5</w:t>
      </w:r>
      <w:r w:rsidRPr="00150BD5">
        <w:rPr>
          <w:rFonts w:asciiTheme="minorBidi" w:hAnsiTheme="minorBidi"/>
          <w:b/>
          <w:bCs/>
          <w:sz w:val="28"/>
          <w:szCs w:val="28"/>
          <w:rtl/>
          <w:lang w:bidi="fa-IR"/>
        </w:rPr>
        <w:t xml:space="preserve"> </w:t>
      </w:r>
    </w:p>
    <w:p w:rsidR="006E127B" w:rsidRPr="00150BD5" w:rsidRDefault="006E127B" w:rsidP="006E127B">
      <w:pPr>
        <w:bidi/>
        <w:rPr>
          <w:rFonts w:asciiTheme="minorBidi" w:hAnsiTheme="minorBidi"/>
          <w:sz w:val="28"/>
          <w:szCs w:val="28"/>
        </w:rPr>
      </w:pPr>
      <w:r w:rsidRPr="00150BD5">
        <w:rPr>
          <w:rFonts w:asciiTheme="minorBidi" w:hAnsiTheme="minorBidi"/>
          <w:sz w:val="28"/>
          <w:szCs w:val="28"/>
          <w:rtl/>
          <w:lang w:bidi="fa-IR"/>
        </w:rPr>
        <w:t>به دانشگاهها و موسسات آموزش عالی وابسته به وزارت علوم ، تحقیقات و فناوری و وزارت بهداشت و درمان و آموزش پزشکی و شرکتهای دولتی وابسته و تابعه وزارتخانه های نیرو ؛ جهاد کشاورزی و ... اجازه داده می شود با رعایت قانون نحوه انتشار اوراق مشارکت مصوب 30/06/1376 و یا قانون بازار اوراق بهادار  جمهوری اسلامی ایران مصوب 01/09/1384 در مجموع تا سقف یکصد هزار میلیارد (100،000،000،000) ریال برای اجرای طرحهای دارای توجیه فنی اقتصادی و مالی خرد با اولویت اجرای طرح (پروژه) های ... تامین آب کشاورزی و احیاء قنوات مقابله با ریزگردها شرکتهای کشاورزی و دامپروری ..... با اولیت مناطق محروم و کمتر توسه یافته ، اوراق مشارکت ریالی و مصکوک اسلامی با رعایت ماده (88) قانون تظمیم بخشی از مقررات مالی دولت مصوب 27/11/1380 برای طرحهاییی که به تصویب شورای اقتصاد می رسد ، با تضمین و بازپرداخت اصل و سود توسط خود منتشرکنند.</w:t>
      </w:r>
    </w:p>
    <w:p w:rsidR="006E127B" w:rsidRPr="00150BD5" w:rsidRDefault="006E127B" w:rsidP="00150BD5">
      <w:pPr>
        <w:bidi/>
        <w:rPr>
          <w:rFonts w:asciiTheme="minorBidi" w:hAnsiTheme="minorBidi"/>
          <w:sz w:val="28"/>
          <w:szCs w:val="28"/>
        </w:rPr>
      </w:pPr>
      <w:r w:rsidRPr="00150BD5">
        <w:rPr>
          <w:rFonts w:asciiTheme="minorBidi" w:hAnsiTheme="minorBidi"/>
          <w:b/>
          <w:bCs/>
          <w:sz w:val="28"/>
          <w:szCs w:val="28"/>
          <w:highlight w:val="red"/>
          <w:rtl/>
          <w:lang w:bidi="fa-IR"/>
        </w:rPr>
        <w:t>بند هـ تبصره 5</w:t>
      </w:r>
      <w:r w:rsidRPr="00150BD5">
        <w:rPr>
          <w:rFonts w:asciiTheme="minorBidi" w:hAnsiTheme="minorBidi"/>
          <w:b/>
          <w:bCs/>
          <w:sz w:val="28"/>
          <w:szCs w:val="28"/>
          <w:rtl/>
          <w:lang w:bidi="fa-IR"/>
        </w:rPr>
        <w:t xml:space="preserve"> </w:t>
      </w:r>
    </w:p>
    <w:p w:rsidR="006E127B" w:rsidRPr="00150BD5" w:rsidRDefault="006E127B" w:rsidP="00150BD5">
      <w:pPr>
        <w:bidi/>
        <w:rPr>
          <w:rFonts w:asciiTheme="minorBidi" w:hAnsiTheme="minorBidi"/>
          <w:sz w:val="28"/>
          <w:szCs w:val="28"/>
        </w:rPr>
      </w:pPr>
      <w:r w:rsidRPr="00150BD5">
        <w:rPr>
          <w:rFonts w:asciiTheme="minorBidi" w:hAnsiTheme="minorBidi"/>
          <w:sz w:val="28"/>
          <w:szCs w:val="28"/>
          <w:rtl/>
          <w:lang w:bidi="fa-IR"/>
        </w:rPr>
        <w:t xml:space="preserve">در سال 1396 دولت مجاز است اسناد خزانه اسلامی با حفظ قدرت خرید را با سررسید تا سه سال به صورت بی نام و یا با نام صادر کند و به منظور تسویه بدهی مسجل خود بابت طرحهای تملک دارایی های سرمایه ای و مابه التفاوت قیمت تضمینی محصولات کشاورزی باقیمت فروش در بورس به قیمت اسمی تا سقف نود وپنج میلیارد ریال به طلبکاران واگذار کند. اسناد مزبور از پرداخت هرگونه مالیات معاف می باشد </w:t>
      </w:r>
      <w:r w:rsidR="00150BD5">
        <w:rPr>
          <w:rFonts w:asciiTheme="minorBidi" w:hAnsiTheme="minorBidi"/>
          <w:sz w:val="28"/>
          <w:szCs w:val="28"/>
          <w:lang w:bidi="fa-IR"/>
        </w:rPr>
        <w:t>.</w:t>
      </w:r>
    </w:p>
    <w:p w:rsidR="006E127B" w:rsidRDefault="006E127B" w:rsidP="006E127B">
      <w:pPr>
        <w:bidi/>
        <w:rPr>
          <w:rFonts w:cs="Titr"/>
          <w:sz w:val="28"/>
          <w:szCs w:val="28"/>
        </w:rPr>
      </w:pPr>
    </w:p>
    <w:p w:rsidR="00150BD5" w:rsidRDefault="00150BD5" w:rsidP="00150BD5">
      <w:pPr>
        <w:bidi/>
        <w:rPr>
          <w:rFonts w:cs="Titr"/>
          <w:sz w:val="28"/>
          <w:szCs w:val="28"/>
        </w:rPr>
      </w:pPr>
    </w:p>
    <w:p w:rsidR="00150BD5" w:rsidRDefault="00150BD5" w:rsidP="00150BD5">
      <w:pPr>
        <w:bidi/>
        <w:rPr>
          <w:rFonts w:cs="Titr"/>
          <w:sz w:val="28"/>
          <w:szCs w:val="28"/>
        </w:rPr>
      </w:pPr>
    </w:p>
    <w:p w:rsidR="00150BD5" w:rsidRDefault="00150BD5" w:rsidP="00150BD5">
      <w:pPr>
        <w:bidi/>
        <w:rPr>
          <w:rFonts w:cs="Titr"/>
          <w:sz w:val="28"/>
          <w:szCs w:val="28"/>
          <w:rtl/>
        </w:rPr>
      </w:pPr>
    </w:p>
    <w:p w:rsidR="006E127B" w:rsidRPr="006E127B" w:rsidRDefault="006E127B" w:rsidP="006E127B">
      <w:pPr>
        <w:bidi/>
        <w:rPr>
          <w:rFonts w:cs="Titr"/>
          <w:b/>
          <w:bCs/>
          <w:sz w:val="24"/>
          <w:szCs w:val="24"/>
          <w:rtl/>
          <w:lang w:bidi="fa-IR"/>
        </w:rPr>
      </w:pPr>
      <w:r>
        <w:rPr>
          <w:rFonts w:cs="Titr"/>
          <w:b/>
          <w:bCs/>
          <w:color w:val="5B9BD5" w:themeColor="accent1"/>
          <w:sz w:val="24"/>
          <w:szCs w:val="24"/>
          <w:lang w:bidi="fa-IR"/>
        </w:rPr>
        <w:lastRenderedPageBreak/>
        <w:t xml:space="preserve">                  </w:t>
      </w:r>
      <w:r w:rsidRPr="006E127B">
        <w:rPr>
          <w:rFonts w:cs="Titr" w:hint="cs"/>
          <w:b/>
          <w:bCs/>
          <w:color w:val="5B9BD5" w:themeColor="accent1"/>
          <w:sz w:val="24"/>
          <w:szCs w:val="24"/>
          <w:rtl/>
          <w:lang w:bidi="fa-IR"/>
        </w:rPr>
        <w:t>کمک های فنی و اعتباری برای توسعه روشهای نوین آبیاری و بازسازی و نوسازی قنوات :</w:t>
      </w:r>
    </w:p>
    <w:tbl>
      <w:tblPr>
        <w:tblpPr w:leftFromText="180" w:rightFromText="180" w:vertAnchor="text" w:horzAnchor="margin" w:tblpXSpec="center" w:tblpY="82"/>
        <w:bidiVisual/>
        <w:tblW w:w="7649" w:type="dxa"/>
        <w:tblCellMar>
          <w:left w:w="0" w:type="dxa"/>
          <w:right w:w="0" w:type="dxa"/>
        </w:tblCellMar>
        <w:tblLook w:val="0420" w:firstRow="1" w:lastRow="0" w:firstColumn="0" w:lastColumn="0" w:noHBand="0" w:noVBand="1"/>
      </w:tblPr>
      <w:tblGrid>
        <w:gridCol w:w="1909"/>
        <w:gridCol w:w="2920"/>
        <w:gridCol w:w="1185"/>
        <w:gridCol w:w="1635"/>
      </w:tblGrid>
      <w:tr w:rsidR="006E127B" w:rsidRPr="006E127B" w:rsidTr="006E127B">
        <w:trPr>
          <w:trHeight w:val="224"/>
        </w:trPr>
        <w:tc>
          <w:tcPr>
            <w:tcW w:w="190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rFonts w:cs="Titr"/>
                <w:sz w:val="28"/>
                <w:szCs w:val="28"/>
              </w:rPr>
            </w:pPr>
            <w:r w:rsidRPr="006E127B">
              <w:rPr>
                <w:rFonts w:cs="Titr" w:hint="cs"/>
                <w:b/>
                <w:bCs/>
                <w:sz w:val="28"/>
                <w:szCs w:val="28"/>
                <w:rtl/>
                <w:lang w:bidi="fa-IR"/>
              </w:rPr>
              <w:t>شماره طبقه بندی</w:t>
            </w:r>
          </w:p>
        </w:tc>
        <w:tc>
          <w:tcPr>
            <w:tcW w:w="2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rFonts w:cs="Titr"/>
                <w:sz w:val="28"/>
                <w:szCs w:val="28"/>
              </w:rPr>
            </w:pPr>
            <w:r w:rsidRPr="006E127B">
              <w:rPr>
                <w:rFonts w:cs="Titr" w:hint="cs"/>
                <w:b/>
                <w:bCs/>
                <w:sz w:val="28"/>
                <w:szCs w:val="28"/>
                <w:rtl/>
                <w:lang w:bidi="fa-IR"/>
              </w:rPr>
              <w:t>عنوان</w:t>
            </w:r>
          </w:p>
        </w:tc>
        <w:tc>
          <w:tcPr>
            <w:tcW w:w="11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rFonts w:cs="Titr"/>
                <w:sz w:val="28"/>
                <w:szCs w:val="28"/>
              </w:rPr>
            </w:pPr>
            <w:r w:rsidRPr="006E127B">
              <w:rPr>
                <w:rFonts w:cs="Titr" w:hint="cs"/>
                <w:b/>
                <w:bCs/>
                <w:sz w:val="28"/>
                <w:szCs w:val="28"/>
                <w:rtl/>
                <w:lang w:bidi="fa-IR"/>
              </w:rPr>
              <w:t>لایجه</w:t>
            </w:r>
          </w:p>
        </w:tc>
        <w:tc>
          <w:tcPr>
            <w:tcW w:w="16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rFonts w:cs="Titr"/>
                <w:sz w:val="28"/>
                <w:szCs w:val="28"/>
              </w:rPr>
            </w:pPr>
            <w:r w:rsidRPr="006E127B">
              <w:rPr>
                <w:rFonts w:cs="Titr" w:hint="cs"/>
                <w:b/>
                <w:bCs/>
                <w:sz w:val="28"/>
                <w:szCs w:val="28"/>
                <w:rtl/>
                <w:lang w:bidi="fa-IR"/>
              </w:rPr>
              <w:t>مصوب مجلس</w:t>
            </w:r>
          </w:p>
        </w:tc>
      </w:tr>
    </w:tbl>
    <w:p w:rsidR="006E127B" w:rsidRPr="006E127B" w:rsidRDefault="006E127B" w:rsidP="006E127B">
      <w:pPr>
        <w:bidi/>
        <w:rPr>
          <w:rFonts w:cs="Titr"/>
          <w:sz w:val="28"/>
          <w:szCs w:val="28"/>
        </w:rPr>
      </w:pPr>
    </w:p>
    <w:tbl>
      <w:tblPr>
        <w:tblpPr w:leftFromText="180" w:rightFromText="180" w:vertAnchor="text" w:horzAnchor="margin" w:tblpXSpec="center" w:tblpY="300"/>
        <w:bidiVisual/>
        <w:tblW w:w="7704" w:type="dxa"/>
        <w:tblCellMar>
          <w:left w:w="0" w:type="dxa"/>
          <w:right w:w="0" w:type="dxa"/>
        </w:tblCellMar>
        <w:tblLook w:val="0420" w:firstRow="1" w:lastRow="0" w:firstColumn="0" w:lastColumn="0" w:noHBand="0" w:noVBand="1"/>
      </w:tblPr>
      <w:tblGrid>
        <w:gridCol w:w="1906"/>
        <w:gridCol w:w="2700"/>
        <w:gridCol w:w="1474"/>
        <w:gridCol w:w="1624"/>
      </w:tblGrid>
      <w:tr w:rsidR="006E127B" w:rsidRPr="006E127B" w:rsidTr="006E127B">
        <w:trPr>
          <w:trHeight w:val="206"/>
        </w:trPr>
        <w:tc>
          <w:tcPr>
            <w:tcW w:w="190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1306012008</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rFonts w:hint="cs"/>
                <w:b/>
                <w:bCs/>
                <w:sz w:val="28"/>
                <w:szCs w:val="28"/>
                <w:rtl/>
                <w:lang w:bidi="fa-IR"/>
              </w:rPr>
              <w:t xml:space="preserve">کمک های فنی واعتباری برای توسعه روشهای نوین آبیاری </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24260000</w:t>
            </w:r>
          </w:p>
        </w:tc>
        <w:tc>
          <w:tcPr>
            <w:tcW w:w="16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24260000</w:t>
            </w:r>
          </w:p>
        </w:tc>
      </w:tr>
    </w:tbl>
    <w:p w:rsidR="006E127B" w:rsidRPr="006E127B" w:rsidRDefault="006E127B" w:rsidP="006E127B">
      <w:pPr>
        <w:bidi/>
        <w:rPr>
          <w:rFonts w:cs="Titr" w:hint="cs"/>
          <w:sz w:val="28"/>
          <w:szCs w:val="28"/>
          <w:rtl/>
        </w:rPr>
      </w:pPr>
    </w:p>
    <w:p w:rsidR="006E127B" w:rsidRDefault="006E127B" w:rsidP="006E127B">
      <w:pPr>
        <w:bidi/>
        <w:rPr>
          <w:sz w:val="28"/>
          <w:szCs w:val="28"/>
        </w:rPr>
      </w:pPr>
    </w:p>
    <w:tbl>
      <w:tblPr>
        <w:tblpPr w:leftFromText="180" w:rightFromText="180" w:vertAnchor="text" w:horzAnchor="margin" w:tblpXSpec="center" w:tblpY="319"/>
        <w:bidiVisual/>
        <w:tblW w:w="7721" w:type="dxa"/>
        <w:tblCellMar>
          <w:left w:w="0" w:type="dxa"/>
          <w:right w:w="0" w:type="dxa"/>
        </w:tblCellMar>
        <w:tblLook w:val="0420" w:firstRow="1" w:lastRow="0" w:firstColumn="0" w:lastColumn="0" w:noHBand="0" w:noVBand="1"/>
      </w:tblPr>
      <w:tblGrid>
        <w:gridCol w:w="1927"/>
        <w:gridCol w:w="2948"/>
        <w:gridCol w:w="1196"/>
        <w:gridCol w:w="1650"/>
      </w:tblGrid>
      <w:tr w:rsidR="006E127B" w:rsidRPr="006E127B" w:rsidTr="006E127B">
        <w:trPr>
          <w:trHeight w:val="213"/>
        </w:trPr>
        <w:tc>
          <w:tcPr>
            <w:tcW w:w="19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1306012007</w:t>
            </w:r>
          </w:p>
        </w:tc>
        <w:tc>
          <w:tcPr>
            <w:tcW w:w="29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rFonts w:hint="cs"/>
                <w:b/>
                <w:bCs/>
                <w:sz w:val="28"/>
                <w:szCs w:val="28"/>
                <w:rtl/>
                <w:lang w:bidi="fa-IR"/>
              </w:rPr>
              <w:t>کمک های فنی واعتباری برای بازسازی</w:t>
            </w:r>
            <w:r w:rsidRPr="006E127B">
              <w:rPr>
                <w:b/>
                <w:bCs/>
                <w:sz w:val="28"/>
                <w:szCs w:val="28"/>
                <w:rtl/>
                <w:lang w:bidi="fa-IR"/>
              </w:rPr>
              <w:t xml:space="preserve"> و نوسازی قنوات</w:t>
            </w:r>
          </w:p>
        </w:tc>
        <w:tc>
          <w:tcPr>
            <w:tcW w:w="11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700000</w:t>
            </w:r>
          </w:p>
        </w:tc>
        <w:tc>
          <w:tcPr>
            <w:tcW w:w="165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6E127B" w:rsidRPr="006E127B" w:rsidRDefault="006E127B" w:rsidP="006E127B">
            <w:pPr>
              <w:bidi/>
              <w:rPr>
                <w:sz w:val="28"/>
                <w:szCs w:val="28"/>
              </w:rPr>
            </w:pPr>
            <w:r w:rsidRPr="006E127B">
              <w:rPr>
                <w:b/>
                <w:bCs/>
                <w:sz w:val="28"/>
                <w:szCs w:val="28"/>
                <w:rtl/>
                <w:lang w:bidi="fa-IR"/>
              </w:rPr>
              <w:t>700000</w:t>
            </w:r>
          </w:p>
        </w:tc>
      </w:tr>
    </w:tbl>
    <w:p w:rsidR="006E127B" w:rsidRPr="006E127B" w:rsidRDefault="006E127B" w:rsidP="006E127B">
      <w:pPr>
        <w:bidi/>
        <w:rPr>
          <w:sz w:val="28"/>
          <w:szCs w:val="28"/>
        </w:rPr>
      </w:pPr>
    </w:p>
    <w:p w:rsidR="006E127B" w:rsidRPr="006E127B" w:rsidRDefault="006E127B" w:rsidP="006E127B">
      <w:pPr>
        <w:bidi/>
        <w:rPr>
          <w:sz w:val="28"/>
          <w:szCs w:val="28"/>
        </w:rPr>
      </w:pPr>
    </w:p>
    <w:p w:rsidR="006E127B" w:rsidRDefault="006E127B" w:rsidP="006E127B">
      <w:pPr>
        <w:bidi/>
        <w:rPr>
          <w:sz w:val="28"/>
          <w:szCs w:val="28"/>
        </w:rPr>
      </w:pPr>
    </w:p>
    <w:p w:rsidR="00B147C9" w:rsidRDefault="00695A68" w:rsidP="006E127B">
      <w:pPr>
        <w:bidi/>
        <w:rPr>
          <w:sz w:val="28"/>
          <w:szCs w:val="28"/>
        </w:rPr>
      </w:pPr>
    </w:p>
    <w:p w:rsidR="00150BD5" w:rsidRDefault="00150BD5" w:rsidP="00150BD5">
      <w:pPr>
        <w:bidi/>
        <w:rPr>
          <w:sz w:val="28"/>
          <w:szCs w:val="28"/>
        </w:rPr>
      </w:pPr>
    </w:p>
    <w:p w:rsidR="00150BD5" w:rsidRPr="00150BD5" w:rsidRDefault="00150BD5" w:rsidP="00150BD5">
      <w:pPr>
        <w:bidi/>
        <w:rPr>
          <w:sz w:val="28"/>
          <w:szCs w:val="28"/>
        </w:rPr>
      </w:pPr>
      <w:r w:rsidRPr="00695A68">
        <w:rPr>
          <w:rFonts w:hint="cs"/>
          <w:b/>
          <w:bCs/>
          <w:sz w:val="28"/>
          <w:szCs w:val="28"/>
          <w:highlight w:val="red"/>
          <w:rtl/>
          <w:lang w:bidi="fa-IR"/>
        </w:rPr>
        <w:t>بند ب تبصره 8 :</w:t>
      </w:r>
    </w:p>
    <w:p w:rsidR="00150BD5" w:rsidRPr="00150BD5" w:rsidRDefault="00150BD5" w:rsidP="00150BD5">
      <w:pPr>
        <w:bidi/>
        <w:rPr>
          <w:sz w:val="28"/>
          <w:szCs w:val="28"/>
        </w:rPr>
      </w:pPr>
      <w:r w:rsidRPr="00150BD5">
        <w:rPr>
          <w:rFonts w:hint="cs"/>
          <w:sz w:val="28"/>
          <w:szCs w:val="28"/>
          <w:rtl/>
          <w:lang w:bidi="fa-IR"/>
        </w:rPr>
        <w:t>به سازمان امور عشایری ایران اجازه داده می شود کلیه فروشگاهها ، جایگاههای سوخت (فسیلی) انبار ذخیره علوفه و کالا ، اراضی و مستحدثات مربوطه را که متعلق به سازمان است و در اختیار شرکتهای تعاونی عشایری و اتحادیه های مربوطه قرار دارند را با قیمت کارشناسی و دریافت ده درصد (10%) قیمت به صورت نقدی و مابقی اقساط پنجساله به شرکتها و اتحادیه های بهره بردار واگذار کند. وجوه حاصل از واگذاریها به حساب مربوطه نزد خزانه داری کل کشور واریز می شود معادل صد در صد (100%) درآمد حاصله از محل ردیف 163-530000 در اختیار سازمان امور عشایر ایران قرار می گیرد تا به عنوان افزایش سرمایه سهم دولت در صندوق حمایت از توسعه بخش کشاورزی و عشایری هزینه کند.</w:t>
      </w:r>
    </w:p>
    <w:p w:rsidR="00150BD5" w:rsidRDefault="00150BD5" w:rsidP="00150BD5">
      <w:pPr>
        <w:bidi/>
        <w:rPr>
          <w:b/>
          <w:bCs/>
          <w:sz w:val="28"/>
          <w:szCs w:val="28"/>
          <w:lang w:bidi="fa-IR"/>
        </w:rPr>
      </w:pPr>
    </w:p>
    <w:p w:rsidR="00150BD5" w:rsidRDefault="00150BD5" w:rsidP="00150BD5">
      <w:pPr>
        <w:bidi/>
        <w:rPr>
          <w:b/>
          <w:bCs/>
          <w:sz w:val="28"/>
          <w:szCs w:val="28"/>
          <w:lang w:bidi="fa-IR"/>
        </w:rPr>
      </w:pPr>
    </w:p>
    <w:p w:rsidR="00150BD5" w:rsidRPr="00150BD5" w:rsidRDefault="00150BD5" w:rsidP="00150BD5">
      <w:pPr>
        <w:bidi/>
        <w:rPr>
          <w:sz w:val="28"/>
          <w:szCs w:val="28"/>
        </w:rPr>
      </w:pPr>
      <w:r w:rsidRPr="00695A68">
        <w:rPr>
          <w:rFonts w:hint="cs"/>
          <w:b/>
          <w:bCs/>
          <w:sz w:val="28"/>
          <w:szCs w:val="28"/>
          <w:highlight w:val="red"/>
          <w:rtl/>
          <w:lang w:bidi="fa-IR"/>
        </w:rPr>
        <w:t>بند و تبصره 12 :</w:t>
      </w:r>
    </w:p>
    <w:p w:rsidR="00150BD5" w:rsidRPr="00150BD5" w:rsidRDefault="00150BD5" w:rsidP="00150BD5">
      <w:pPr>
        <w:bidi/>
        <w:rPr>
          <w:sz w:val="28"/>
          <w:szCs w:val="28"/>
        </w:rPr>
      </w:pPr>
      <w:bookmarkStart w:id="0" w:name="_GoBack"/>
      <w:bookmarkEnd w:id="0"/>
      <w:r w:rsidRPr="00150BD5">
        <w:rPr>
          <w:rFonts w:hint="cs"/>
          <w:sz w:val="28"/>
          <w:szCs w:val="28"/>
          <w:rtl/>
          <w:lang w:bidi="fa-IR"/>
        </w:rPr>
        <w:t>صندوقهای نوآوری و شکوفایی و کارآفرینی امید در سال 1396 به مدت یکسال به قانون فهرست نهادها و موسسات عمومی غیر دولتی مصوب 19/04/1373 اضافه می شوند. اساسنامه آنها حداکثر تا پایان سال 1396 به عنوان نهاد عمومی غیر دولتی به تصویب هیأت وزیران می رسد.</w:t>
      </w:r>
    </w:p>
    <w:p w:rsidR="00150BD5" w:rsidRPr="006E127B" w:rsidRDefault="00150BD5" w:rsidP="00150BD5">
      <w:pPr>
        <w:bidi/>
        <w:rPr>
          <w:sz w:val="28"/>
          <w:szCs w:val="28"/>
        </w:rPr>
      </w:pPr>
    </w:p>
    <w:sectPr w:rsidR="00150BD5" w:rsidRPr="006E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7B"/>
    <w:rsid w:val="00087B53"/>
    <w:rsid w:val="00150BD5"/>
    <w:rsid w:val="006762CE"/>
    <w:rsid w:val="00695A68"/>
    <w:rsid w:val="006E1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FC48F-3024-4FA9-BB12-15E8E42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7706">
      <w:bodyDiv w:val="1"/>
      <w:marLeft w:val="0"/>
      <w:marRight w:val="0"/>
      <w:marTop w:val="0"/>
      <w:marBottom w:val="0"/>
      <w:divBdr>
        <w:top w:val="none" w:sz="0" w:space="0" w:color="auto"/>
        <w:left w:val="none" w:sz="0" w:space="0" w:color="auto"/>
        <w:bottom w:val="none" w:sz="0" w:space="0" w:color="auto"/>
        <w:right w:val="none" w:sz="0" w:space="0" w:color="auto"/>
      </w:divBdr>
    </w:div>
    <w:div w:id="135881429">
      <w:bodyDiv w:val="1"/>
      <w:marLeft w:val="0"/>
      <w:marRight w:val="0"/>
      <w:marTop w:val="0"/>
      <w:marBottom w:val="0"/>
      <w:divBdr>
        <w:top w:val="none" w:sz="0" w:space="0" w:color="auto"/>
        <w:left w:val="none" w:sz="0" w:space="0" w:color="auto"/>
        <w:bottom w:val="none" w:sz="0" w:space="0" w:color="auto"/>
        <w:right w:val="none" w:sz="0" w:space="0" w:color="auto"/>
      </w:divBdr>
    </w:div>
    <w:div w:id="589047140">
      <w:bodyDiv w:val="1"/>
      <w:marLeft w:val="0"/>
      <w:marRight w:val="0"/>
      <w:marTop w:val="0"/>
      <w:marBottom w:val="0"/>
      <w:divBdr>
        <w:top w:val="none" w:sz="0" w:space="0" w:color="auto"/>
        <w:left w:val="none" w:sz="0" w:space="0" w:color="auto"/>
        <w:bottom w:val="none" w:sz="0" w:space="0" w:color="auto"/>
        <w:right w:val="none" w:sz="0" w:space="0" w:color="auto"/>
      </w:divBdr>
    </w:div>
    <w:div w:id="843056837">
      <w:bodyDiv w:val="1"/>
      <w:marLeft w:val="0"/>
      <w:marRight w:val="0"/>
      <w:marTop w:val="0"/>
      <w:marBottom w:val="0"/>
      <w:divBdr>
        <w:top w:val="none" w:sz="0" w:space="0" w:color="auto"/>
        <w:left w:val="none" w:sz="0" w:space="0" w:color="auto"/>
        <w:bottom w:val="none" w:sz="0" w:space="0" w:color="auto"/>
        <w:right w:val="none" w:sz="0" w:space="0" w:color="auto"/>
      </w:divBdr>
    </w:div>
    <w:div w:id="903104027">
      <w:bodyDiv w:val="1"/>
      <w:marLeft w:val="0"/>
      <w:marRight w:val="0"/>
      <w:marTop w:val="0"/>
      <w:marBottom w:val="0"/>
      <w:divBdr>
        <w:top w:val="none" w:sz="0" w:space="0" w:color="auto"/>
        <w:left w:val="none" w:sz="0" w:space="0" w:color="auto"/>
        <w:bottom w:val="none" w:sz="0" w:space="0" w:color="auto"/>
        <w:right w:val="none" w:sz="0" w:space="0" w:color="auto"/>
      </w:divBdr>
    </w:div>
    <w:div w:id="922252267">
      <w:bodyDiv w:val="1"/>
      <w:marLeft w:val="0"/>
      <w:marRight w:val="0"/>
      <w:marTop w:val="0"/>
      <w:marBottom w:val="0"/>
      <w:divBdr>
        <w:top w:val="none" w:sz="0" w:space="0" w:color="auto"/>
        <w:left w:val="none" w:sz="0" w:space="0" w:color="auto"/>
        <w:bottom w:val="none" w:sz="0" w:space="0" w:color="auto"/>
        <w:right w:val="none" w:sz="0" w:space="0" w:color="auto"/>
      </w:divBdr>
    </w:div>
    <w:div w:id="1026752854">
      <w:bodyDiv w:val="1"/>
      <w:marLeft w:val="0"/>
      <w:marRight w:val="0"/>
      <w:marTop w:val="0"/>
      <w:marBottom w:val="0"/>
      <w:divBdr>
        <w:top w:val="none" w:sz="0" w:space="0" w:color="auto"/>
        <w:left w:val="none" w:sz="0" w:space="0" w:color="auto"/>
        <w:bottom w:val="none" w:sz="0" w:space="0" w:color="auto"/>
        <w:right w:val="none" w:sz="0" w:space="0" w:color="auto"/>
      </w:divBdr>
    </w:div>
    <w:div w:id="1271745442">
      <w:bodyDiv w:val="1"/>
      <w:marLeft w:val="0"/>
      <w:marRight w:val="0"/>
      <w:marTop w:val="0"/>
      <w:marBottom w:val="0"/>
      <w:divBdr>
        <w:top w:val="none" w:sz="0" w:space="0" w:color="auto"/>
        <w:left w:val="none" w:sz="0" w:space="0" w:color="auto"/>
        <w:bottom w:val="none" w:sz="0" w:space="0" w:color="auto"/>
        <w:right w:val="none" w:sz="0" w:space="0" w:color="auto"/>
      </w:divBdr>
    </w:div>
    <w:div w:id="1346398001">
      <w:bodyDiv w:val="1"/>
      <w:marLeft w:val="0"/>
      <w:marRight w:val="0"/>
      <w:marTop w:val="0"/>
      <w:marBottom w:val="0"/>
      <w:divBdr>
        <w:top w:val="none" w:sz="0" w:space="0" w:color="auto"/>
        <w:left w:val="none" w:sz="0" w:space="0" w:color="auto"/>
        <w:bottom w:val="none" w:sz="0" w:space="0" w:color="auto"/>
        <w:right w:val="none" w:sz="0" w:space="0" w:color="auto"/>
      </w:divBdr>
    </w:div>
    <w:div w:id="1602377841">
      <w:bodyDiv w:val="1"/>
      <w:marLeft w:val="0"/>
      <w:marRight w:val="0"/>
      <w:marTop w:val="0"/>
      <w:marBottom w:val="0"/>
      <w:divBdr>
        <w:top w:val="none" w:sz="0" w:space="0" w:color="auto"/>
        <w:left w:val="none" w:sz="0" w:space="0" w:color="auto"/>
        <w:bottom w:val="none" w:sz="0" w:space="0" w:color="auto"/>
        <w:right w:val="none" w:sz="0" w:space="0" w:color="auto"/>
      </w:divBdr>
    </w:div>
    <w:div w:id="1646468801">
      <w:bodyDiv w:val="1"/>
      <w:marLeft w:val="0"/>
      <w:marRight w:val="0"/>
      <w:marTop w:val="0"/>
      <w:marBottom w:val="0"/>
      <w:divBdr>
        <w:top w:val="none" w:sz="0" w:space="0" w:color="auto"/>
        <w:left w:val="none" w:sz="0" w:space="0" w:color="auto"/>
        <w:bottom w:val="none" w:sz="0" w:space="0" w:color="auto"/>
        <w:right w:val="none" w:sz="0" w:space="0" w:color="auto"/>
      </w:divBdr>
    </w:div>
    <w:div w:id="16613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Akhlaghi</dc:creator>
  <cp:keywords/>
  <dc:description/>
  <cp:lastModifiedBy>Rana Akhlaghi</cp:lastModifiedBy>
  <cp:revision>2</cp:revision>
  <dcterms:created xsi:type="dcterms:W3CDTF">2018-08-05T06:28:00Z</dcterms:created>
  <dcterms:modified xsi:type="dcterms:W3CDTF">2018-08-05T06:28:00Z</dcterms:modified>
</cp:coreProperties>
</file>